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A20CCC3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719EB">
        <w:rPr>
          <w:rFonts w:ascii="Arial" w:hAnsi="Arial" w:cs="Arial"/>
          <w:b/>
          <w:sz w:val="24"/>
          <w:szCs w:val="28"/>
          <w:lang w:val="en-US"/>
        </w:rPr>
        <w:t>0</w:t>
      </w:r>
      <w:r w:rsidR="00820150">
        <w:rPr>
          <w:rFonts w:ascii="Arial" w:hAnsi="Arial" w:cs="Arial"/>
          <w:b/>
          <w:sz w:val="24"/>
          <w:szCs w:val="28"/>
          <w:lang w:val="en-US"/>
        </w:rPr>
        <w:t>16171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4BDBB76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0E2BEB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FD5050" w:rsidRPr="00FD5050">
        <w:rPr>
          <w:rFonts w:ascii="Arial" w:hAnsi="Arial" w:cs="Arial"/>
          <w:sz w:val="22"/>
          <w:szCs w:val="22"/>
        </w:rPr>
        <w:t>Issues with IAB RRM requirements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3A4D4BF9" w:rsidR="0055506E" w:rsidRPr="001D2FBF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BB0A7A">
        <w:rPr>
          <w:sz w:val="22"/>
          <w:szCs w:val="22"/>
          <w:lang w:val="en-US"/>
        </w:rPr>
        <w:t xml:space="preserve">RRM core </w:t>
      </w:r>
      <w:r>
        <w:rPr>
          <w:sz w:val="22"/>
          <w:szCs w:val="22"/>
          <w:lang w:val="en-US"/>
        </w:rPr>
        <w:t>requirements for</w:t>
      </w:r>
      <w:r w:rsidR="00BB0A7A">
        <w:rPr>
          <w:sz w:val="22"/>
          <w:szCs w:val="22"/>
          <w:lang w:val="en-US"/>
        </w:rPr>
        <w:t xml:space="preserve"> IAB were completed in the last meeting</w:t>
      </w:r>
      <w:r w:rsidR="00DC3A07">
        <w:rPr>
          <w:sz w:val="22"/>
          <w:szCs w:val="22"/>
          <w:lang w:val="en-US"/>
        </w:rPr>
        <w:t>.</w:t>
      </w:r>
      <w:r w:rsidR="0014237B">
        <w:rPr>
          <w:sz w:val="22"/>
          <w:szCs w:val="22"/>
          <w:lang w:val="en-US"/>
        </w:rPr>
        <w:t xml:space="preserve"> However, few issues have been identified</w:t>
      </w:r>
      <w:r w:rsidR="00DC3A07">
        <w:rPr>
          <w:sz w:val="22"/>
          <w:szCs w:val="22"/>
          <w:lang w:val="en-US"/>
        </w:rPr>
        <w:t xml:space="preserve"> </w:t>
      </w:r>
      <w:r w:rsidR="005E2413">
        <w:rPr>
          <w:sz w:val="22"/>
          <w:szCs w:val="22"/>
          <w:lang w:val="en-US"/>
        </w:rPr>
        <w:t xml:space="preserve">and are analyzed in this contribution. </w:t>
      </w:r>
    </w:p>
    <w:p w14:paraId="76B57B46" w14:textId="18F437DF" w:rsidR="00CB610D" w:rsidRPr="001D2FBF" w:rsidRDefault="00356BA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RRM requirement</w:t>
      </w:r>
      <w:r w:rsidR="00AC3161">
        <w:t xml:space="preserve"> applicability in non-DRX</w:t>
      </w:r>
    </w:p>
    <w:p w14:paraId="2A754D1F" w14:textId="711C6FA2" w:rsidR="007976C5" w:rsidRDefault="00FE38A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RRM requirements </w:t>
      </w:r>
      <w:r w:rsidR="00AA4DDE">
        <w:rPr>
          <w:sz w:val="22"/>
          <w:szCs w:val="22"/>
        </w:rPr>
        <w:t xml:space="preserve">defined for both local area IAB-MT and wide area IAB-MT in TS 38.174 are applicable in non-DRX. However, the definition </w:t>
      </w:r>
      <w:r w:rsidR="00737E04">
        <w:rPr>
          <w:sz w:val="22"/>
          <w:szCs w:val="22"/>
        </w:rPr>
        <w:t xml:space="preserve">of non-DRX </w:t>
      </w:r>
      <w:r w:rsidR="00E7528C">
        <w:rPr>
          <w:sz w:val="22"/>
          <w:szCs w:val="22"/>
        </w:rPr>
        <w:t xml:space="preserve">or no DRX used in TS 38.174 is </w:t>
      </w:r>
      <w:r w:rsidR="007976C5">
        <w:rPr>
          <w:sz w:val="22"/>
          <w:szCs w:val="22"/>
        </w:rPr>
        <w:t xml:space="preserve">not clear. </w:t>
      </w:r>
    </w:p>
    <w:p w14:paraId="6AF37DBB" w14:textId="2B52A3CE" w:rsidR="007976C5" w:rsidRDefault="007976C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When</w:t>
      </w:r>
      <w:r w:rsidR="00170ABE">
        <w:rPr>
          <w:sz w:val="22"/>
          <w:szCs w:val="22"/>
        </w:rPr>
        <w:t xml:space="preserve"> IAB-MT is not configured with DRX then it is obvious that the IAB-MT is in non-DRX and shall meet all the requirements defined in TS 38-174. However, </w:t>
      </w:r>
      <w:r w:rsidR="00D01E17">
        <w:rPr>
          <w:sz w:val="22"/>
          <w:szCs w:val="22"/>
        </w:rPr>
        <w:t xml:space="preserve">even the </w:t>
      </w:r>
      <w:r w:rsidR="00170ABE">
        <w:rPr>
          <w:sz w:val="22"/>
          <w:szCs w:val="22"/>
        </w:rPr>
        <w:t xml:space="preserve">IAB-MT </w:t>
      </w:r>
      <w:r w:rsidR="00D01E17">
        <w:rPr>
          <w:sz w:val="22"/>
          <w:szCs w:val="22"/>
        </w:rPr>
        <w:t xml:space="preserve">is </w:t>
      </w:r>
      <w:r w:rsidR="00170ABE">
        <w:rPr>
          <w:sz w:val="22"/>
          <w:szCs w:val="22"/>
        </w:rPr>
        <w:t xml:space="preserve">configured with DRX </w:t>
      </w:r>
      <w:r w:rsidR="00D01E17">
        <w:rPr>
          <w:sz w:val="22"/>
          <w:szCs w:val="22"/>
        </w:rPr>
        <w:t xml:space="preserve">parameters </w:t>
      </w:r>
      <w:r w:rsidR="00170ABE">
        <w:rPr>
          <w:sz w:val="22"/>
          <w:szCs w:val="22"/>
        </w:rPr>
        <w:t xml:space="preserve">can in non-DRX when </w:t>
      </w:r>
      <w:r w:rsidR="008B1ABE">
        <w:rPr>
          <w:sz w:val="22"/>
          <w:szCs w:val="22"/>
        </w:rPr>
        <w:t>the IAB-MT receiver is active due to different reasons</w:t>
      </w:r>
      <w:r w:rsidR="003350E5">
        <w:rPr>
          <w:sz w:val="22"/>
          <w:szCs w:val="22"/>
        </w:rPr>
        <w:t xml:space="preserve"> like for the UE (section 3.6.1, TS 38.133). </w:t>
      </w:r>
    </w:p>
    <w:p w14:paraId="15722382" w14:textId="2DA5C416" w:rsidR="00E92696" w:rsidRDefault="003350E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We therefore suggest to define</w:t>
      </w:r>
      <w:r w:rsidR="00886FAD">
        <w:rPr>
          <w:sz w:val="22"/>
          <w:szCs w:val="22"/>
        </w:rPr>
        <w:t xml:space="preserve"> conditions under which the IAB-MT </w:t>
      </w:r>
      <w:r w:rsidR="00242EB3">
        <w:rPr>
          <w:sz w:val="22"/>
          <w:szCs w:val="22"/>
        </w:rPr>
        <w:t>shall assume no DRX is used i</w:t>
      </w:r>
      <w:r>
        <w:rPr>
          <w:sz w:val="22"/>
          <w:szCs w:val="22"/>
        </w:rPr>
        <w:t>n TS 38.174</w:t>
      </w:r>
      <w:r w:rsidR="00242EB3">
        <w:rPr>
          <w:sz w:val="22"/>
          <w:szCs w:val="22"/>
        </w:rPr>
        <w:t xml:space="preserve"> as follows:</w:t>
      </w:r>
    </w:p>
    <w:p w14:paraId="06F83336" w14:textId="77777777" w:rsidR="00242EB3" w:rsidRDefault="00242EB3" w:rsidP="00E92696">
      <w:pPr>
        <w:overflowPunct w:val="0"/>
        <w:autoSpaceDE w:val="0"/>
        <w:autoSpaceDN w:val="0"/>
        <w:adjustRightInd w:val="0"/>
        <w:contextualSpacing/>
        <w:textAlignment w:val="baseline"/>
        <w:rPr>
          <w:lang w:eastAsia="en-GB"/>
        </w:rPr>
      </w:pPr>
    </w:p>
    <w:p w14:paraId="521A25FE" w14:textId="4A465358" w:rsidR="00E92696" w:rsidRPr="0033585D" w:rsidRDefault="00E92696" w:rsidP="00242EB3">
      <w:pPr>
        <w:pBdr>
          <w:top w:val="single" w:sz="4" w:space="1" w:color="auto"/>
        </w:pBdr>
        <w:overflowPunct w:val="0"/>
        <w:autoSpaceDE w:val="0"/>
        <w:autoSpaceDN w:val="0"/>
        <w:adjustRightInd w:val="0"/>
        <w:contextualSpacing/>
        <w:textAlignment w:val="baseline"/>
        <w:rPr>
          <w:lang w:eastAsia="en-GB"/>
        </w:rPr>
      </w:pPr>
      <w:r>
        <w:rPr>
          <w:lang w:eastAsia="en-GB"/>
        </w:rPr>
        <w:t xml:space="preserve">The IAB-MT </w:t>
      </w:r>
      <w:r w:rsidRPr="009C5807">
        <w:rPr>
          <w:rFonts w:eastAsia="?? ??"/>
          <w:lang w:eastAsia="ko-KR"/>
        </w:rPr>
        <w:t>shall assume that no DRX is used provided the following conditions are met:</w:t>
      </w:r>
    </w:p>
    <w:p w14:paraId="50306108" w14:textId="77777777" w:rsidR="00E92696" w:rsidRPr="009C5807" w:rsidRDefault="00E92696" w:rsidP="00E92696">
      <w:pPr>
        <w:pStyle w:val="B1"/>
      </w:pPr>
      <w:r w:rsidRPr="009C5807">
        <w:t>-</w:t>
      </w:r>
      <w:r w:rsidRPr="009C5807">
        <w:tab/>
        <w:t>DRX parameters are not configured or</w:t>
      </w:r>
    </w:p>
    <w:p w14:paraId="6B074EFD" w14:textId="77777777" w:rsidR="00E92696" w:rsidRPr="009C5807" w:rsidRDefault="00E92696" w:rsidP="00E92696">
      <w:pPr>
        <w:pStyle w:val="B1"/>
      </w:pPr>
      <w:r w:rsidRPr="009C5807">
        <w:t>-</w:t>
      </w:r>
      <w:r w:rsidRPr="009C5807">
        <w:tab/>
        <w:t>DRX parameters are configured and</w:t>
      </w:r>
    </w:p>
    <w:p w14:paraId="126E2D02" w14:textId="77777777" w:rsidR="00E92696" w:rsidRPr="009C5807" w:rsidRDefault="00E92696" w:rsidP="00E92696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rPr>
          <w:i/>
          <w:noProof/>
          <w:lang w:eastAsia="ko-KR"/>
        </w:rPr>
        <w:t>drx-InactivityTimer</w:t>
      </w:r>
      <w:r w:rsidRPr="009C5807">
        <w:rPr>
          <w:rFonts w:eastAsia="?? ??"/>
          <w:lang w:eastAsia="ko-KR"/>
        </w:rPr>
        <w:t xml:space="preserve"> is running or</w:t>
      </w:r>
    </w:p>
    <w:p w14:paraId="27C16B30" w14:textId="77777777" w:rsidR="00E92696" w:rsidRPr="009C5807" w:rsidRDefault="00E92696" w:rsidP="00E92696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proofErr w:type="spellStart"/>
      <w:r w:rsidRPr="009C5807">
        <w:rPr>
          <w:i/>
          <w:lang w:eastAsia="ko-KR"/>
        </w:rPr>
        <w:t>drx-RetransmissionTimerDL</w:t>
      </w:r>
      <w:proofErr w:type="spellEnd"/>
      <w:r w:rsidRPr="009C5807">
        <w:rPr>
          <w:rFonts w:eastAsia="?? ??"/>
          <w:lang w:eastAsia="ko-KR"/>
        </w:rPr>
        <w:t xml:space="preserve"> is running or</w:t>
      </w:r>
    </w:p>
    <w:p w14:paraId="4239D286" w14:textId="77777777" w:rsidR="00E92696" w:rsidRPr="009C5807" w:rsidRDefault="00E92696" w:rsidP="00E92696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proofErr w:type="spellStart"/>
      <w:r w:rsidRPr="009C5807">
        <w:rPr>
          <w:i/>
          <w:lang w:eastAsia="ko-KR"/>
        </w:rPr>
        <w:t>drx-RetransmissionTimerUL</w:t>
      </w:r>
      <w:proofErr w:type="spellEnd"/>
      <w:r w:rsidRPr="009C5807">
        <w:rPr>
          <w:rFonts w:eastAsia="?? ??"/>
          <w:i/>
          <w:lang w:eastAsia="ko-KR"/>
        </w:rPr>
        <w:t xml:space="preserve"> </w:t>
      </w:r>
      <w:r w:rsidRPr="009C5807">
        <w:rPr>
          <w:rFonts w:eastAsia="?? ??"/>
          <w:lang w:eastAsia="ko-KR"/>
        </w:rPr>
        <w:t>is running or</w:t>
      </w:r>
    </w:p>
    <w:p w14:paraId="3F4E4076" w14:textId="77777777" w:rsidR="00E92696" w:rsidRPr="009C5807" w:rsidRDefault="00E92696" w:rsidP="00E92696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rPr>
          <w:i/>
          <w:noProof/>
          <w:lang w:eastAsia="ko-KR"/>
        </w:rPr>
        <w:t>ra-ContentionResolutionTimer</w:t>
      </w:r>
      <w:r w:rsidRPr="009C5807">
        <w:rPr>
          <w:noProof/>
          <w:lang w:eastAsia="ko-KR"/>
        </w:rPr>
        <w:t xml:space="preserve"> is running or</w:t>
      </w:r>
    </w:p>
    <w:p w14:paraId="380BCA48" w14:textId="77777777" w:rsidR="00E92696" w:rsidRPr="009C5807" w:rsidRDefault="00E92696" w:rsidP="00E92696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Scheduling Request sent on PUCCH is pending or</w:t>
      </w:r>
    </w:p>
    <w:p w14:paraId="375BF6B6" w14:textId="77777777" w:rsidR="00E92696" w:rsidRDefault="00E92696" w:rsidP="00242EB3">
      <w:pPr>
        <w:pStyle w:val="B3"/>
        <w:spacing w:after="0"/>
        <w:ind w:left="851"/>
        <w:rPr>
          <w:noProof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PDCCH indicating a new transmission addressed to the C-RNTI of the MAC entity has not been received after successful reception of a Random Access Response for the preamble not selected by the MAC entity</w:t>
      </w:r>
    </w:p>
    <w:p w14:paraId="108B7BD4" w14:textId="77777777" w:rsidR="00E92696" w:rsidRDefault="00E92696" w:rsidP="00242EB3">
      <w:pPr>
        <w:pBdr>
          <w:top w:val="single" w:sz="4" w:space="1" w:color="auto"/>
        </w:pBdr>
        <w:spacing w:before="240" w:after="0"/>
        <w:rPr>
          <w:sz w:val="22"/>
          <w:szCs w:val="22"/>
        </w:rPr>
      </w:pPr>
    </w:p>
    <w:p w14:paraId="13840D5B" w14:textId="50D33DA7" w:rsidR="008F791D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1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All IAB-MT RRM requirements are applicable when no DRX is used. But definition of no DRX is missing in TS 38.174.</w:t>
      </w:r>
    </w:p>
    <w:p w14:paraId="4C0128B6" w14:textId="1EA7756E" w:rsidR="008F791D" w:rsidRDefault="008F791D" w:rsidP="008F791D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Conditions </w:t>
      </w:r>
      <w:r w:rsidR="00E32EF4">
        <w:rPr>
          <w:rFonts w:ascii="Times New Roman" w:hAnsi="Times New Roman"/>
          <w:szCs w:val="22"/>
        </w:rPr>
        <w:t xml:space="preserve">under which </w:t>
      </w:r>
      <w:r w:rsidRPr="008F791D">
        <w:rPr>
          <w:rFonts w:ascii="Times New Roman" w:hAnsi="Times New Roman"/>
          <w:szCs w:val="22"/>
        </w:rPr>
        <w:t>IAB-MT shall assume no DRX is used</w:t>
      </w:r>
      <w:r w:rsidR="00E32EF4">
        <w:rPr>
          <w:rFonts w:ascii="Times New Roman" w:hAnsi="Times New Roman"/>
          <w:szCs w:val="22"/>
        </w:rPr>
        <w:t xml:space="preserve"> are defined in TS 38.174.</w:t>
      </w:r>
    </w:p>
    <w:p w14:paraId="1950BE00" w14:textId="66C14E90" w:rsidR="00E32EF4" w:rsidRPr="00E32EF4" w:rsidRDefault="00E32EF4" w:rsidP="00E32EF4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2:</w:t>
      </w:r>
      <w:r>
        <w:rPr>
          <w:rFonts w:ascii="Times New Roman" w:hAnsi="Times New Roman"/>
          <w:szCs w:val="22"/>
        </w:rPr>
        <w:t xml:space="preserve"> In proposal 1, conditions are the same as defined for the UE in </w:t>
      </w:r>
      <w:r w:rsidRPr="00E32EF4">
        <w:rPr>
          <w:rFonts w:ascii="Times New Roman" w:hAnsi="Times New Roman"/>
          <w:szCs w:val="22"/>
        </w:rPr>
        <w:t>section 3.6.1, TS 38.133</w:t>
      </w:r>
      <w:r>
        <w:rPr>
          <w:rFonts w:ascii="Times New Roman" w:hAnsi="Times New Roman"/>
          <w:szCs w:val="22"/>
        </w:rPr>
        <w:t>.</w:t>
      </w:r>
    </w:p>
    <w:p w14:paraId="441006D0" w14:textId="04E156D2" w:rsidR="00E32EF4" w:rsidRPr="001D2FBF" w:rsidRDefault="00E32EF4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lastRenderedPageBreak/>
        <w:t>Measurement gaps</w:t>
      </w:r>
      <w:r w:rsidR="00A07CA2">
        <w:t xml:space="preserve"> for</w:t>
      </w:r>
      <w:r w:rsidR="0078668A">
        <w:t xml:space="preserve"> signalling characteristics</w:t>
      </w:r>
    </w:p>
    <w:p w14:paraId="35E24130" w14:textId="6041155E" w:rsidR="00E32EF4" w:rsidRDefault="00E32EF4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R</w:t>
      </w:r>
      <w:r w:rsidR="00C0253B">
        <w:rPr>
          <w:sz w:val="22"/>
          <w:szCs w:val="22"/>
        </w:rPr>
        <w:t xml:space="preserve">LM and link recovery </w:t>
      </w:r>
      <w:r>
        <w:rPr>
          <w:sz w:val="22"/>
          <w:szCs w:val="22"/>
        </w:rPr>
        <w:t xml:space="preserve">requirements defined </w:t>
      </w:r>
      <w:r w:rsidR="00575E27">
        <w:rPr>
          <w:sz w:val="22"/>
          <w:szCs w:val="22"/>
        </w:rPr>
        <w:t xml:space="preserve">for local area </w:t>
      </w:r>
      <w:r>
        <w:rPr>
          <w:sz w:val="22"/>
          <w:szCs w:val="22"/>
        </w:rPr>
        <w:t>IAB-MT</w:t>
      </w:r>
      <w:r w:rsidR="00575E27">
        <w:rPr>
          <w:sz w:val="22"/>
          <w:szCs w:val="22"/>
        </w:rPr>
        <w:t xml:space="preserve"> depend on measurement gap conf</w:t>
      </w:r>
      <w:r w:rsidR="00F82513">
        <w:rPr>
          <w:sz w:val="22"/>
          <w:szCs w:val="22"/>
        </w:rPr>
        <w:t>iguration</w:t>
      </w:r>
      <w:r>
        <w:rPr>
          <w:sz w:val="22"/>
          <w:szCs w:val="22"/>
        </w:rPr>
        <w:t xml:space="preserve">. </w:t>
      </w:r>
      <w:r w:rsidR="00EC307E">
        <w:rPr>
          <w:sz w:val="22"/>
          <w:szCs w:val="22"/>
        </w:rPr>
        <w:t xml:space="preserve">More specifically </w:t>
      </w:r>
      <w:r w:rsidR="002946D3">
        <w:rPr>
          <w:sz w:val="22"/>
          <w:szCs w:val="22"/>
        </w:rPr>
        <w:t xml:space="preserve">the parameter, P, used in the evaluation periods of RLM and </w:t>
      </w:r>
      <w:r w:rsidR="005146C3">
        <w:rPr>
          <w:sz w:val="22"/>
          <w:szCs w:val="22"/>
        </w:rPr>
        <w:t xml:space="preserve">BFD depends on whether SMTC occasion </w:t>
      </w:r>
      <w:r w:rsidR="00F65A28">
        <w:rPr>
          <w:sz w:val="22"/>
          <w:szCs w:val="22"/>
        </w:rPr>
        <w:t xml:space="preserve">does not overlap at all, partially overlaps or fully overlaps with </w:t>
      </w:r>
      <w:r w:rsidR="00CF35F6">
        <w:rPr>
          <w:sz w:val="22"/>
          <w:szCs w:val="22"/>
        </w:rPr>
        <w:t>measurement gap.</w:t>
      </w:r>
      <w:r w:rsidR="00792C5F">
        <w:rPr>
          <w:sz w:val="22"/>
          <w:szCs w:val="22"/>
        </w:rPr>
        <w:t xml:space="preserve"> The level of overlap depends on MGL, MGRP, relation between MGRP</w:t>
      </w:r>
      <w:r w:rsidR="008438AD">
        <w:rPr>
          <w:sz w:val="22"/>
          <w:szCs w:val="22"/>
        </w:rPr>
        <w:t xml:space="preserve"> and SSB periodicity or relation between MGRP and CSI-RS periodicity.</w:t>
      </w:r>
    </w:p>
    <w:p w14:paraId="42AFF1A7" w14:textId="5968ECE4" w:rsidR="008438AD" w:rsidRDefault="008438AD" w:rsidP="00E32EF4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However, it is not clear which measurement gap</w:t>
      </w:r>
      <w:r w:rsidR="009528A4">
        <w:rPr>
          <w:sz w:val="22"/>
          <w:szCs w:val="22"/>
        </w:rPr>
        <w:t xml:space="preserve"> configurations</w:t>
      </w:r>
      <w:r>
        <w:rPr>
          <w:sz w:val="22"/>
          <w:szCs w:val="22"/>
        </w:rPr>
        <w:t xml:space="preserve"> </w:t>
      </w:r>
      <w:r w:rsidR="009528A4">
        <w:rPr>
          <w:sz w:val="22"/>
          <w:szCs w:val="22"/>
        </w:rPr>
        <w:t xml:space="preserve">are </w:t>
      </w:r>
      <w:r>
        <w:rPr>
          <w:sz w:val="22"/>
          <w:szCs w:val="22"/>
        </w:rPr>
        <w:t xml:space="preserve">applicable for local area IAB-MT </w:t>
      </w:r>
      <w:r w:rsidR="009528A4">
        <w:rPr>
          <w:sz w:val="22"/>
          <w:szCs w:val="22"/>
        </w:rPr>
        <w:t xml:space="preserve">when performing RLM and beam management. This needs to be clarified. </w:t>
      </w:r>
    </w:p>
    <w:p w14:paraId="3A0DD1FD" w14:textId="63D3E753" w:rsidR="00FB6C8C" w:rsidRDefault="00FB6C8C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 w:rsidR="00967D32">
        <w:rPr>
          <w:rFonts w:ascii="Times New Roman" w:hAnsi="Times New Roman"/>
          <w:b/>
          <w:bCs/>
          <w:szCs w:val="22"/>
        </w:rPr>
        <w:t>2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IAB-MT RLM and link recovery requirements are impacted by the measurement gap configuration. But applicable measurement gap</w:t>
      </w:r>
      <w:r w:rsidR="00967D32">
        <w:rPr>
          <w:rFonts w:ascii="Times New Roman" w:hAnsi="Times New Roman"/>
          <w:szCs w:val="22"/>
        </w:rPr>
        <w:t xml:space="preserve">s for </w:t>
      </w:r>
      <w:r w:rsidR="00967D32" w:rsidRPr="00967D32">
        <w:rPr>
          <w:rFonts w:ascii="Times New Roman" w:hAnsi="Times New Roman"/>
          <w:szCs w:val="22"/>
        </w:rPr>
        <w:t xml:space="preserve">local area IAB-MT </w:t>
      </w:r>
      <w:r w:rsidR="00967D32">
        <w:rPr>
          <w:rFonts w:ascii="Times New Roman" w:hAnsi="Times New Roman"/>
          <w:szCs w:val="22"/>
        </w:rPr>
        <w:t xml:space="preserve">for meeting </w:t>
      </w:r>
      <w:r w:rsidR="00967D32" w:rsidRPr="00967D32">
        <w:rPr>
          <w:rFonts w:ascii="Times New Roman" w:hAnsi="Times New Roman"/>
          <w:szCs w:val="22"/>
        </w:rPr>
        <w:t xml:space="preserve">RLM and </w:t>
      </w:r>
      <w:r w:rsidR="00967D32">
        <w:rPr>
          <w:rFonts w:ascii="Times New Roman" w:hAnsi="Times New Roman"/>
          <w:szCs w:val="22"/>
        </w:rPr>
        <w:t xml:space="preserve">link recovery requirements are </w:t>
      </w:r>
      <w:r>
        <w:rPr>
          <w:rFonts w:ascii="Times New Roman" w:hAnsi="Times New Roman"/>
          <w:szCs w:val="22"/>
        </w:rPr>
        <w:t>missing in TS 38.174.</w:t>
      </w:r>
    </w:p>
    <w:p w14:paraId="528900BE" w14:textId="03320CE9" w:rsidR="00E92696" w:rsidRPr="00967D32" w:rsidRDefault="00FB6C8C" w:rsidP="00967D3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Proposal </w:t>
      </w:r>
      <w:r w:rsidR="00967D32">
        <w:rPr>
          <w:rFonts w:ascii="Times New Roman" w:hAnsi="Times New Roman"/>
          <w:b/>
          <w:bCs/>
          <w:szCs w:val="22"/>
        </w:rPr>
        <w:t>3</w:t>
      </w:r>
      <w:r>
        <w:rPr>
          <w:rFonts w:ascii="Times New Roman" w:hAnsi="Times New Roman"/>
          <w:b/>
          <w:bCs/>
          <w:szCs w:val="22"/>
        </w:rPr>
        <w:t>:</w:t>
      </w:r>
      <w:r>
        <w:rPr>
          <w:rFonts w:ascii="Times New Roman" w:hAnsi="Times New Roman"/>
          <w:szCs w:val="22"/>
        </w:rPr>
        <w:t xml:space="preserve"> </w:t>
      </w:r>
      <w:r w:rsidR="00967D32">
        <w:rPr>
          <w:rFonts w:ascii="Times New Roman" w:hAnsi="Times New Roman"/>
          <w:szCs w:val="22"/>
        </w:rPr>
        <w:t xml:space="preserve">Specify </w:t>
      </w:r>
      <w:r w:rsidR="00967D32" w:rsidRPr="00967D32">
        <w:rPr>
          <w:rFonts w:ascii="Times New Roman" w:hAnsi="Times New Roman"/>
          <w:szCs w:val="22"/>
        </w:rPr>
        <w:t>applicable measurement gap</w:t>
      </w:r>
      <w:r w:rsidR="00967D32">
        <w:rPr>
          <w:rFonts w:ascii="Times New Roman" w:hAnsi="Times New Roman"/>
          <w:szCs w:val="22"/>
        </w:rPr>
        <w:t xml:space="preserve"> configurations f</w:t>
      </w:r>
      <w:r w:rsidR="00967D32" w:rsidRPr="00967D32">
        <w:rPr>
          <w:rFonts w:ascii="Times New Roman" w:hAnsi="Times New Roman"/>
          <w:szCs w:val="22"/>
        </w:rPr>
        <w:t>or local area IAB-MT for meeting RLM and link recovery requirements in TS 38</w:t>
      </w:r>
      <w:r w:rsidR="00D57FD6">
        <w:rPr>
          <w:rFonts w:ascii="Times New Roman" w:hAnsi="Times New Roman"/>
          <w:szCs w:val="22"/>
        </w:rPr>
        <w:t>.174</w:t>
      </w:r>
      <w:r>
        <w:rPr>
          <w:rFonts w:ascii="Times New Roman" w:hAnsi="Times New Roman"/>
          <w:szCs w:val="22"/>
        </w:rPr>
        <w:t>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1AEF05B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identified </w:t>
      </w:r>
      <w:r w:rsidR="00CE21F0">
        <w:rPr>
          <w:sz w:val="22"/>
          <w:szCs w:val="22"/>
          <w:lang w:val="en-US"/>
        </w:rPr>
        <w:t xml:space="preserve">several issues related to IAB-MT RRM requirements.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3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2E0E7023" w14:textId="77777777" w:rsidR="00D57FD6" w:rsidRDefault="00D57FD6" w:rsidP="00D57FD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1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All IAB-MT RRM requirements are applicable when no DRX is used. But definition of no DRX is missing in TS 38.174.</w:t>
      </w:r>
    </w:p>
    <w:p w14:paraId="7AF0AD47" w14:textId="77777777" w:rsidR="00D57FD6" w:rsidRDefault="00D57FD6" w:rsidP="00D57FD6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Conditions under which </w:t>
      </w:r>
      <w:r w:rsidRPr="008F791D">
        <w:rPr>
          <w:rFonts w:ascii="Times New Roman" w:hAnsi="Times New Roman"/>
          <w:szCs w:val="22"/>
        </w:rPr>
        <w:t>IAB-MT shall assume no DRX is used</w:t>
      </w:r>
      <w:r>
        <w:rPr>
          <w:rFonts w:ascii="Times New Roman" w:hAnsi="Times New Roman"/>
          <w:szCs w:val="22"/>
        </w:rPr>
        <w:t xml:space="preserve"> are defined in TS 38.174.</w:t>
      </w:r>
    </w:p>
    <w:p w14:paraId="7EF592D2" w14:textId="3A400E4E" w:rsidR="00D57FD6" w:rsidRPr="00D57FD6" w:rsidRDefault="00D57FD6" w:rsidP="00D57FD6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2:</w:t>
      </w:r>
      <w:r>
        <w:rPr>
          <w:rFonts w:ascii="Times New Roman" w:hAnsi="Times New Roman"/>
          <w:szCs w:val="22"/>
        </w:rPr>
        <w:t xml:space="preserve"> In proposal 1, conditions are the same as defined for the UE in </w:t>
      </w:r>
      <w:r w:rsidRPr="00E32EF4">
        <w:rPr>
          <w:rFonts w:ascii="Times New Roman" w:hAnsi="Times New Roman"/>
          <w:szCs w:val="22"/>
        </w:rPr>
        <w:t>section 3.6.1, TS 38.133</w:t>
      </w:r>
      <w:r>
        <w:rPr>
          <w:rFonts w:ascii="Times New Roman" w:hAnsi="Times New Roman"/>
          <w:szCs w:val="22"/>
        </w:rPr>
        <w:t>.</w:t>
      </w:r>
    </w:p>
    <w:p w14:paraId="1135F613" w14:textId="77777777" w:rsidR="00D57FD6" w:rsidRDefault="00D57FD6" w:rsidP="00D57FD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2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IAB-MT RLM and link recovery requirements are impacted by the measurement gap configuration. But applicable measurement gaps for </w:t>
      </w:r>
      <w:r w:rsidRPr="00967D32">
        <w:rPr>
          <w:rFonts w:ascii="Times New Roman" w:hAnsi="Times New Roman"/>
          <w:szCs w:val="22"/>
        </w:rPr>
        <w:t xml:space="preserve">local area IAB-MT </w:t>
      </w:r>
      <w:r>
        <w:rPr>
          <w:rFonts w:ascii="Times New Roman" w:hAnsi="Times New Roman"/>
          <w:szCs w:val="22"/>
        </w:rPr>
        <w:t xml:space="preserve">for meeting </w:t>
      </w:r>
      <w:r w:rsidRPr="00967D32">
        <w:rPr>
          <w:rFonts w:ascii="Times New Roman" w:hAnsi="Times New Roman"/>
          <w:szCs w:val="22"/>
        </w:rPr>
        <w:t xml:space="preserve">RLM and </w:t>
      </w:r>
      <w:r>
        <w:rPr>
          <w:rFonts w:ascii="Times New Roman" w:hAnsi="Times New Roman"/>
          <w:szCs w:val="22"/>
        </w:rPr>
        <w:t>link recovery requirements are missing in TS 38.174.</w:t>
      </w:r>
    </w:p>
    <w:p w14:paraId="2F23F335" w14:textId="25A0BFB0" w:rsidR="00D57FD6" w:rsidRPr="00D57FD6" w:rsidRDefault="00D57FD6" w:rsidP="00D57FD6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3:</w:t>
      </w:r>
      <w:r>
        <w:rPr>
          <w:rFonts w:ascii="Times New Roman" w:hAnsi="Times New Roman"/>
          <w:szCs w:val="22"/>
        </w:rPr>
        <w:t xml:space="preserve"> Specify </w:t>
      </w:r>
      <w:r w:rsidRPr="00967D32">
        <w:rPr>
          <w:rFonts w:ascii="Times New Roman" w:hAnsi="Times New Roman"/>
          <w:szCs w:val="22"/>
        </w:rPr>
        <w:t>applicable measurement gap</w:t>
      </w:r>
      <w:r>
        <w:rPr>
          <w:rFonts w:ascii="Times New Roman" w:hAnsi="Times New Roman"/>
          <w:szCs w:val="22"/>
        </w:rPr>
        <w:t xml:space="preserve"> configurations f</w:t>
      </w:r>
      <w:r w:rsidRPr="00967D32">
        <w:rPr>
          <w:rFonts w:ascii="Times New Roman" w:hAnsi="Times New Roman"/>
          <w:szCs w:val="22"/>
        </w:rPr>
        <w:t>or local area IAB-MT for meeting RLM and link recovery requirements in TS 38</w:t>
      </w:r>
      <w:r>
        <w:rPr>
          <w:rFonts w:ascii="Times New Roman" w:hAnsi="Times New Roman"/>
          <w:szCs w:val="22"/>
        </w:rPr>
        <w:t>.174.</w:t>
      </w:r>
    </w:p>
    <w:p w14:paraId="52B4CD9D" w14:textId="106DFCA1" w:rsidR="00EB38CF" w:rsidRPr="00D57FD6" w:rsidRDefault="003C6E91" w:rsidP="00BA47B2">
      <w:pPr>
        <w:spacing w:before="360"/>
        <w:rPr>
          <w:sz w:val="22"/>
          <w:szCs w:val="22"/>
          <w:lang w:val="en-US"/>
        </w:rPr>
      </w:pPr>
      <w:r w:rsidRPr="00D57FD6">
        <w:rPr>
          <w:sz w:val="22"/>
          <w:szCs w:val="22"/>
          <w:lang w:val="en-US"/>
        </w:rPr>
        <w:t xml:space="preserve">The </w:t>
      </w:r>
      <w:r w:rsidR="00A800B5" w:rsidRPr="00D57FD6">
        <w:rPr>
          <w:sz w:val="22"/>
          <w:szCs w:val="22"/>
          <w:lang w:val="en-US"/>
        </w:rPr>
        <w:t xml:space="preserve">CR to </w:t>
      </w:r>
      <w:r w:rsidR="00A800B5">
        <w:rPr>
          <w:sz w:val="22"/>
          <w:szCs w:val="22"/>
          <w:lang w:val="en-US"/>
        </w:rPr>
        <w:t xml:space="preserve">TS </w:t>
      </w:r>
      <w:r w:rsidR="00A800B5" w:rsidRPr="00D57FD6">
        <w:rPr>
          <w:sz w:val="22"/>
          <w:szCs w:val="22"/>
          <w:lang w:val="en-US"/>
        </w:rPr>
        <w:t xml:space="preserve">38.174 </w:t>
      </w:r>
      <w:r w:rsidR="00A800B5">
        <w:rPr>
          <w:sz w:val="22"/>
          <w:szCs w:val="22"/>
          <w:lang w:val="en-US"/>
        </w:rPr>
        <w:t xml:space="preserve">on the </w:t>
      </w:r>
      <w:r w:rsidR="00D57FD6" w:rsidRPr="00D57FD6">
        <w:rPr>
          <w:sz w:val="22"/>
          <w:szCs w:val="22"/>
          <w:lang w:val="en-US"/>
        </w:rPr>
        <w:t xml:space="preserve">definition of non-DRX is provided in </w:t>
      </w:r>
      <w:r w:rsidR="000E3C71" w:rsidRPr="00D57FD6">
        <w:rPr>
          <w:sz w:val="22"/>
          <w:szCs w:val="22"/>
          <w:lang w:val="en-US"/>
        </w:rPr>
        <w:t>[</w:t>
      </w:r>
      <w:r w:rsidR="00CE21F0" w:rsidRPr="00D57FD6">
        <w:rPr>
          <w:sz w:val="22"/>
          <w:szCs w:val="22"/>
          <w:lang w:val="en-US"/>
        </w:rPr>
        <w:t>2</w:t>
      </w:r>
      <w:r w:rsidR="000E3C71" w:rsidRPr="00D57FD6">
        <w:rPr>
          <w:sz w:val="22"/>
          <w:szCs w:val="22"/>
          <w:lang w:val="en-US"/>
        </w:rPr>
        <w:t>]</w:t>
      </w:r>
      <w:r w:rsidR="00F1568B" w:rsidRPr="00D57FD6">
        <w:rPr>
          <w:sz w:val="22"/>
          <w:szCs w:val="22"/>
          <w:lang w:val="en-US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E42A512" w14:textId="73CF8D74" w:rsidR="00DE2F9C" w:rsidRDefault="00DE2F9C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E2F9C">
        <w:rPr>
          <w:rFonts w:ascii="Times New Roman" w:hAnsi="Times New Roman"/>
          <w:sz w:val="20"/>
        </w:rPr>
        <w:t>R4-2012211</w:t>
      </w:r>
      <w:r w:rsidR="00BB4BD2">
        <w:rPr>
          <w:rFonts w:ascii="Times New Roman" w:hAnsi="Times New Roman"/>
          <w:sz w:val="20"/>
        </w:rPr>
        <w:t xml:space="preserve">, </w:t>
      </w:r>
      <w:r w:rsidRPr="00DE2F9C">
        <w:rPr>
          <w:rFonts w:ascii="Times New Roman" w:hAnsi="Times New Roman"/>
          <w:sz w:val="20"/>
        </w:rPr>
        <w:t>Email discussion summary for [96e][211] NR_IAB_RRM, ZTE</w:t>
      </w:r>
    </w:p>
    <w:p w14:paraId="7C729E1D" w14:textId="4C547C18" w:rsidR="00AE12EE" w:rsidRPr="00DE2F9C" w:rsidRDefault="00AE12EE" w:rsidP="00BB4BD2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820150">
        <w:rPr>
          <w:rFonts w:ascii="Times New Roman" w:hAnsi="Times New Roman"/>
          <w:sz w:val="20"/>
        </w:rPr>
        <w:t>016170,</w:t>
      </w:r>
      <w:bookmarkStart w:id="4" w:name="_GoBack"/>
      <w:bookmarkEnd w:id="4"/>
      <w:r w:rsidR="00F136C2">
        <w:rPr>
          <w:rFonts w:ascii="Times New Roman" w:hAnsi="Times New Roman"/>
          <w:sz w:val="20"/>
        </w:rPr>
        <w:t xml:space="preserve"> “</w:t>
      </w:r>
      <w:r w:rsidRPr="00AE12EE">
        <w:rPr>
          <w:rFonts w:ascii="Times New Roman" w:hAnsi="Times New Roman"/>
          <w:sz w:val="20"/>
        </w:rPr>
        <w:t>Symbols, abbreviations and definitions for IAB RRM in 38.174</w:t>
      </w:r>
      <w:r w:rsidR="00820150">
        <w:rPr>
          <w:rFonts w:ascii="Times New Roman" w:hAnsi="Times New Roman"/>
          <w:sz w:val="20"/>
        </w:rPr>
        <w:t xml:space="preserve">”, </w:t>
      </w:r>
      <w:r w:rsidR="00F136C2">
        <w:rPr>
          <w:rFonts w:ascii="Times New Roman" w:hAnsi="Times New Roman"/>
          <w:sz w:val="20"/>
        </w:rPr>
        <w:t>Ericsson</w:t>
      </w:r>
    </w:p>
    <w:sectPr w:rsidR="00AE12EE" w:rsidRPr="00DE2F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21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9EB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150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C24FE-E27B-46FA-B590-76B1A4BC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2</Pages>
  <Words>659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175</cp:revision>
  <cp:lastPrinted>1899-12-31T23:00:00Z</cp:lastPrinted>
  <dcterms:created xsi:type="dcterms:W3CDTF">2020-04-07T15:26:00Z</dcterms:created>
  <dcterms:modified xsi:type="dcterms:W3CDTF">2020-10-23T16:12:00Z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